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AF2011">
        <w:rPr>
          <w:noProof/>
        </w:rPr>
        <w:t xml:space="preserve">January </w:t>
      </w:r>
      <w:r w:rsidR="00DD2511">
        <w:rPr>
          <w:noProof/>
        </w:rPr>
        <w:t>27</w:t>
      </w:r>
      <w:r w:rsidR="00AF2011" w:rsidRPr="00AF2011">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AF2011">
        <w:rPr>
          <w:rFonts w:ascii="Calibri" w:eastAsia="Times New Roman" w:hAnsi="Calibri" w:cs="Times New Roman"/>
        </w:rPr>
        <w:t xml:space="preserve">January </w:t>
      </w:r>
      <w:r w:rsidR="00DD2511">
        <w:rPr>
          <w:rFonts w:ascii="Calibri" w:eastAsia="Times New Roman" w:hAnsi="Calibri" w:cs="Times New Roman"/>
        </w:rPr>
        <w:t>27</w:t>
      </w:r>
      <w:r w:rsidR="00AF2011" w:rsidRPr="00AF2011">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Meinen, </w:t>
      </w:r>
      <w:r w:rsidR="00C134F3">
        <w:rPr>
          <w:rFonts w:ascii="Calibri" w:eastAsia="Times New Roman" w:hAnsi="Calibri" w:cs="Times New Roman"/>
        </w:rPr>
        <w:t>Bauch, 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833918">
        <w:rPr>
          <w:rFonts w:ascii="Calibri" w:eastAsia="Times New Roman" w:hAnsi="Calibri" w:cs="Times New Roman"/>
        </w:rPr>
        <w:t>Baribeau</w:t>
      </w:r>
      <w:r w:rsidR="009A14CC">
        <w:rPr>
          <w:rFonts w:ascii="Calibri" w:eastAsia="Times New Roman" w:hAnsi="Calibri" w:cs="Times New Roman"/>
        </w:rPr>
        <w:t>,</w:t>
      </w:r>
      <w:r w:rsidR="002B0C42">
        <w:rPr>
          <w:rFonts w:ascii="Calibri" w:eastAsia="Times New Roman" w:hAnsi="Calibri" w:cs="Times New Roman"/>
        </w:rPr>
        <w:t xml:space="preserve"> and</w:t>
      </w:r>
      <w:r w:rsidR="009A14CC">
        <w:rPr>
          <w:rFonts w:ascii="Calibri" w:eastAsia="Times New Roman" w:hAnsi="Calibri" w:cs="Times New Roman"/>
        </w:rPr>
        <w:t xml:space="preserve"> Administrator Frion</w:t>
      </w:r>
      <w:r w:rsidR="002E74D8">
        <w:rPr>
          <w:rFonts w:ascii="Calibri" w:eastAsia="Times New Roman" w:hAnsi="Calibri" w:cs="Times New Roman"/>
        </w:rPr>
        <w:t xml:space="preserve"> </w:t>
      </w:r>
      <w:r w:rsidR="00D56BA4">
        <w:rPr>
          <w:rFonts w:ascii="Calibri" w:eastAsia="Times New Roman" w:hAnsi="Calibri" w:cs="Times New Roman"/>
        </w:rPr>
        <w:t>were all present</w:t>
      </w:r>
      <w:r w:rsidR="00833918">
        <w:rPr>
          <w:rFonts w:ascii="Calibri" w:eastAsia="Times New Roman" w:hAnsi="Calibri" w:cs="Times New Roman"/>
        </w:rPr>
        <w:t>.</w:t>
      </w:r>
      <w:r w:rsidR="00DD2511">
        <w:rPr>
          <w:rFonts w:ascii="Calibri" w:eastAsia="Times New Roman" w:hAnsi="Calibri" w:cs="Times New Roman"/>
        </w:rPr>
        <w:t xml:space="preserve">  Attorney Gierhart was absent.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DD2511"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Bauch</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Pr>
          <w:rFonts w:ascii="Calibri" w:eastAsia="Times New Roman" w:hAnsi="Calibri" w:cs="Times New Roman"/>
          <w:u w:val="single"/>
        </w:rPr>
        <w:t>January 13</w:t>
      </w:r>
      <w:r w:rsidRPr="00DD2511">
        <w:rPr>
          <w:rFonts w:ascii="Calibri" w:eastAsia="Times New Roman" w:hAnsi="Calibri" w:cs="Times New Roman"/>
          <w:u w:val="single"/>
          <w:vertAlign w:val="superscript"/>
        </w:rPr>
        <w:t>th</w:t>
      </w:r>
      <w:r>
        <w:rPr>
          <w:rFonts w:ascii="Calibri" w:eastAsia="Times New Roman" w:hAnsi="Calibri" w:cs="Times New Roman"/>
          <w:u w:val="single"/>
        </w:rPr>
        <w:t>, 2021,</w:t>
      </w:r>
      <w:r w:rsidR="00AF2011">
        <w:rPr>
          <w:rFonts w:ascii="Calibri" w:eastAsia="Times New Roman" w:hAnsi="Calibri" w:cs="Times New Roman"/>
          <w:u w:val="single"/>
        </w:rPr>
        <w:t xml:space="preserve"> </w:t>
      </w:r>
      <w:r w:rsidR="000B6780">
        <w:rPr>
          <w:rFonts w:ascii="Calibri" w:eastAsia="Times New Roman" w:hAnsi="Calibri" w:cs="Times New Roman"/>
          <w:u w:val="single"/>
        </w:rPr>
        <w:t>regular meeting as presented</w:t>
      </w:r>
      <w:r w:rsidR="00A96F7A" w:rsidRPr="00A96F7A">
        <w:rPr>
          <w:rFonts w:ascii="Calibri" w:eastAsia="Times New Roman" w:hAnsi="Calibri" w:cs="Times New Roman"/>
          <w:u w:val="single"/>
        </w:rPr>
        <w:t xml:space="preserve">.  </w:t>
      </w:r>
      <w:r>
        <w:rPr>
          <w:rFonts w:ascii="Calibri" w:eastAsia="Times New Roman" w:hAnsi="Calibri" w:cs="Times New Roman"/>
          <w:u w:val="single"/>
        </w:rPr>
        <w:t>Baribeau</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DD2511"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833918">
        <w:rPr>
          <w:rFonts w:ascii="Calibri" w:eastAsia="Times New Roman" w:hAnsi="Calibri" w:cs="Times New Roman"/>
          <w:u w:val="single"/>
        </w:rPr>
        <w:t>Reischel</w:t>
      </w:r>
      <w:r w:rsidR="003E266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2B0C42"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DD2511">
        <w:rPr>
          <w:rFonts w:ascii="Calibri" w:eastAsia="Times New Roman" w:hAnsi="Calibri" w:cs="Times New Roman"/>
          <w:color w:val="FF0000"/>
        </w:rPr>
        <w:tab/>
      </w:r>
      <w:r w:rsidRPr="002B0C42">
        <w:rPr>
          <w:rFonts w:ascii="Calibri" w:eastAsia="Times New Roman" w:hAnsi="Calibri" w:cs="Times New Roman"/>
        </w:rPr>
        <w:t>Checks Numbered:</w:t>
      </w:r>
      <w:r w:rsidRPr="002B0C42">
        <w:rPr>
          <w:rFonts w:ascii="Calibri" w:eastAsia="Times New Roman" w:hAnsi="Calibri" w:cs="Times New Roman"/>
        </w:rPr>
        <w:tab/>
      </w:r>
      <w:r w:rsidRPr="002B0C42">
        <w:rPr>
          <w:rFonts w:ascii="Calibri" w:eastAsia="Times New Roman" w:hAnsi="Calibri" w:cs="Times New Roman"/>
        </w:rPr>
        <w:tab/>
      </w:r>
      <w:r w:rsidR="002B0C42" w:rsidRPr="002B0C42">
        <w:rPr>
          <w:rFonts w:ascii="Calibri" w:eastAsia="Times New Roman" w:hAnsi="Calibri" w:cs="Times New Roman"/>
        </w:rPr>
        <w:t xml:space="preserve"> 86688 - 86746</w:t>
      </w:r>
    </w:p>
    <w:p w:rsidR="00DA4200" w:rsidRPr="002B0C42" w:rsidRDefault="00A96F7A" w:rsidP="00A96F7A">
      <w:pPr>
        <w:spacing w:after="0" w:line="240" w:lineRule="auto"/>
        <w:rPr>
          <w:rFonts w:ascii="Calibri" w:eastAsia="Times New Roman" w:hAnsi="Calibri" w:cs="Times New Roman"/>
        </w:rPr>
      </w:pPr>
      <w:r w:rsidRPr="002B0C42">
        <w:rPr>
          <w:rFonts w:ascii="Calibri" w:eastAsia="Times New Roman" w:hAnsi="Calibri" w:cs="Times New Roman"/>
        </w:rPr>
        <w:tab/>
      </w:r>
      <w:r w:rsidRPr="002B0C42">
        <w:rPr>
          <w:rFonts w:ascii="Calibri" w:eastAsia="Times New Roman" w:hAnsi="Calibri" w:cs="Times New Roman"/>
        </w:rPr>
        <w:tab/>
        <w:t>General Fund:</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t xml:space="preserve"> $</w:t>
      </w:r>
      <w:r w:rsidR="00DA4200" w:rsidRPr="002B0C42">
        <w:rPr>
          <w:rFonts w:ascii="Calibri" w:eastAsia="Times New Roman" w:hAnsi="Calibri" w:cs="Times New Roman"/>
        </w:rPr>
        <w:t xml:space="preserve"> </w:t>
      </w:r>
      <w:r w:rsidR="002B0C42" w:rsidRPr="002B0C42">
        <w:rPr>
          <w:rFonts w:ascii="Calibri" w:eastAsia="Times New Roman" w:hAnsi="Calibri" w:cs="Times New Roman"/>
        </w:rPr>
        <w:t xml:space="preserve">   87,948.46</w:t>
      </w:r>
    </w:p>
    <w:p w:rsidR="007B7550" w:rsidRPr="002B0C42" w:rsidRDefault="00894129" w:rsidP="00A96F7A">
      <w:pPr>
        <w:spacing w:after="0" w:line="240" w:lineRule="auto"/>
        <w:rPr>
          <w:rFonts w:ascii="Calibri" w:eastAsia="Times New Roman" w:hAnsi="Calibri" w:cs="Times New Roman"/>
        </w:rPr>
      </w:pPr>
      <w:r w:rsidRPr="002B0C42">
        <w:rPr>
          <w:rFonts w:ascii="Calibri" w:eastAsia="Times New Roman" w:hAnsi="Calibri" w:cs="Times New Roman"/>
        </w:rPr>
        <w:tab/>
      </w:r>
      <w:r w:rsidRPr="002B0C42">
        <w:rPr>
          <w:rFonts w:ascii="Calibri" w:eastAsia="Times New Roman" w:hAnsi="Calibri" w:cs="Times New Roman"/>
        </w:rPr>
        <w:tab/>
        <w:t>Electric Fund:</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t xml:space="preserve"> $</w:t>
      </w:r>
      <w:r w:rsidR="004D768C" w:rsidRPr="002B0C42">
        <w:rPr>
          <w:rFonts w:ascii="Calibri" w:eastAsia="Times New Roman" w:hAnsi="Calibri" w:cs="Times New Roman"/>
        </w:rPr>
        <w:t xml:space="preserve"> </w:t>
      </w:r>
      <w:r w:rsidR="002F1EA1" w:rsidRPr="002B0C42">
        <w:rPr>
          <w:rFonts w:ascii="Calibri" w:eastAsia="Times New Roman" w:hAnsi="Calibri" w:cs="Times New Roman"/>
        </w:rPr>
        <w:t xml:space="preserve"> </w:t>
      </w:r>
      <w:r w:rsidR="002B0C42" w:rsidRPr="002B0C42">
        <w:rPr>
          <w:rFonts w:ascii="Calibri" w:eastAsia="Times New Roman" w:hAnsi="Calibri" w:cs="Times New Roman"/>
        </w:rPr>
        <w:t>333,010.29</w:t>
      </w:r>
    </w:p>
    <w:p w:rsidR="00A96F7A" w:rsidRPr="002B0C42" w:rsidRDefault="00957E25" w:rsidP="00A96F7A">
      <w:pPr>
        <w:spacing w:after="0" w:line="240" w:lineRule="auto"/>
        <w:rPr>
          <w:rFonts w:ascii="Calibri" w:eastAsia="Times New Roman" w:hAnsi="Calibri" w:cs="Times New Roman"/>
        </w:rPr>
      </w:pPr>
      <w:r w:rsidRPr="002B0C42">
        <w:rPr>
          <w:rFonts w:ascii="Calibri" w:eastAsia="Times New Roman" w:hAnsi="Calibri" w:cs="Times New Roman"/>
        </w:rPr>
        <w:tab/>
      </w:r>
      <w:r w:rsidRPr="002B0C42">
        <w:rPr>
          <w:rFonts w:ascii="Calibri" w:eastAsia="Times New Roman" w:hAnsi="Calibri" w:cs="Times New Roman"/>
        </w:rPr>
        <w:tab/>
        <w:t>Water Fund:</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r>
      <w:r w:rsidR="0036370F" w:rsidRPr="002B0C42">
        <w:rPr>
          <w:rFonts w:ascii="Calibri" w:eastAsia="Times New Roman" w:hAnsi="Calibri" w:cs="Times New Roman"/>
        </w:rPr>
        <w:t xml:space="preserve"> $</w:t>
      </w:r>
      <w:r w:rsidR="00785C4A" w:rsidRPr="002B0C42">
        <w:rPr>
          <w:rFonts w:ascii="Calibri" w:eastAsia="Times New Roman" w:hAnsi="Calibri" w:cs="Times New Roman"/>
        </w:rPr>
        <w:t xml:space="preserve"> </w:t>
      </w:r>
      <w:r w:rsidR="002A3D2F" w:rsidRPr="002B0C42">
        <w:rPr>
          <w:rFonts w:ascii="Calibri" w:eastAsia="Times New Roman" w:hAnsi="Calibri" w:cs="Times New Roman"/>
        </w:rPr>
        <w:t xml:space="preserve"> </w:t>
      </w:r>
      <w:r w:rsidR="002B0C42" w:rsidRPr="002B0C42">
        <w:rPr>
          <w:rFonts w:ascii="Calibri" w:eastAsia="Times New Roman" w:hAnsi="Calibri" w:cs="Times New Roman"/>
        </w:rPr>
        <w:t xml:space="preserve">     5,913.54</w:t>
      </w:r>
    </w:p>
    <w:p w:rsidR="00A96F7A" w:rsidRPr="002B0C42" w:rsidRDefault="00A96F7A" w:rsidP="00A96F7A">
      <w:pPr>
        <w:spacing w:after="0" w:line="240" w:lineRule="auto"/>
        <w:rPr>
          <w:rFonts w:ascii="Calibri" w:eastAsia="Times New Roman" w:hAnsi="Calibri" w:cs="Times New Roman"/>
        </w:rPr>
      </w:pPr>
      <w:r w:rsidRPr="002B0C42">
        <w:rPr>
          <w:rFonts w:ascii="Calibri" w:eastAsia="Times New Roman" w:hAnsi="Calibri" w:cs="Times New Roman"/>
        </w:rPr>
        <w:tab/>
      </w:r>
      <w:r w:rsidRPr="002B0C42">
        <w:rPr>
          <w:rFonts w:ascii="Calibri" w:eastAsia="Times New Roman" w:hAnsi="Calibri" w:cs="Times New Roman"/>
        </w:rPr>
        <w:tab/>
        <w:t>Sewer Fund:</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t xml:space="preserve"> $</w:t>
      </w:r>
      <w:r w:rsidR="009A14CC" w:rsidRPr="002B0C42">
        <w:rPr>
          <w:rFonts w:ascii="Calibri" w:eastAsia="Times New Roman" w:hAnsi="Calibri" w:cs="Times New Roman"/>
        </w:rPr>
        <w:t xml:space="preserve"> </w:t>
      </w:r>
      <w:r w:rsidR="002B0C42" w:rsidRPr="002B0C42">
        <w:rPr>
          <w:rFonts w:ascii="Calibri" w:eastAsia="Times New Roman" w:hAnsi="Calibri" w:cs="Times New Roman"/>
        </w:rPr>
        <w:t xml:space="preserve">   </w:t>
      </w:r>
      <w:r w:rsidR="00FC57D8" w:rsidRPr="002B0C42">
        <w:rPr>
          <w:rFonts w:ascii="Calibri" w:eastAsia="Times New Roman" w:hAnsi="Calibri" w:cs="Times New Roman"/>
        </w:rPr>
        <w:t xml:space="preserve"> </w:t>
      </w:r>
      <w:r w:rsidR="002B0C42" w:rsidRPr="002B0C42">
        <w:rPr>
          <w:rFonts w:ascii="Calibri" w:eastAsia="Times New Roman" w:hAnsi="Calibri" w:cs="Times New Roman"/>
        </w:rPr>
        <w:t>11,534.49</w:t>
      </w:r>
    </w:p>
    <w:p w:rsidR="00EC3EA1" w:rsidRPr="002B0C42" w:rsidRDefault="00EC3EA1" w:rsidP="00A96F7A">
      <w:pPr>
        <w:spacing w:after="0" w:line="240" w:lineRule="auto"/>
        <w:rPr>
          <w:rFonts w:ascii="Calibri" w:eastAsia="Times New Roman" w:hAnsi="Calibri" w:cs="Times New Roman"/>
          <w:u w:val="single"/>
        </w:rPr>
      </w:pPr>
      <w:r w:rsidRPr="002B0C42">
        <w:rPr>
          <w:rFonts w:ascii="Calibri" w:eastAsia="Times New Roman" w:hAnsi="Calibri" w:cs="Times New Roman"/>
        </w:rPr>
        <w:tab/>
      </w:r>
      <w:r w:rsidRPr="002B0C42">
        <w:rPr>
          <w:rFonts w:ascii="Calibri" w:eastAsia="Times New Roman" w:hAnsi="Calibri" w:cs="Times New Roman"/>
        </w:rPr>
        <w:tab/>
        <w:t>Payroll</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r>
      <w:r w:rsidR="001174F8" w:rsidRPr="002B0C42">
        <w:rPr>
          <w:rFonts w:ascii="Calibri" w:eastAsia="Times New Roman" w:hAnsi="Calibri" w:cs="Times New Roman"/>
        </w:rPr>
        <w:t xml:space="preserve"> </w:t>
      </w:r>
      <w:r w:rsidR="00965A4E" w:rsidRPr="002B0C42">
        <w:rPr>
          <w:rFonts w:ascii="Calibri" w:eastAsia="Times New Roman" w:hAnsi="Calibri" w:cs="Times New Roman"/>
          <w:u w:val="single"/>
        </w:rPr>
        <w:t>$</w:t>
      </w:r>
      <w:r w:rsidR="00FC57D8" w:rsidRPr="002B0C42">
        <w:rPr>
          <w:rFonts w:ascii="Calibri" w:eastAsia="Times New Roman" w:hAnsi="Calibri" w:cs="Times New Roman"/>
          <w:u w:val="single"/>
        </w:rPr>
        <w:t xml:space="preserve"> </w:t>
      </w:r>
      <w:r w:rsidR="002B0C42" w:rsidRPr="002B0C42">
        <w:rPr>
          <w:rFonts w:ascii="Calibri" w:eastAsia="Times New Roman" w:hAnsi="Calibri" w:cs="Times New Roman"/>
          <w:u w:val="single"/>
        </w:rPr>
        <w:t xml:space="preserve">    70,300.14</w:t>
      </w:r>
    </w:p>
    <w:p w:rsidR="00864037" w:rsidRPr="002B0C42" w:rsidRDefault="00A96F7A" w:rsidP="00B1626D">
      <w:pPr>
        <w:spacing w:after="0" w:line="240" w:lineRule="auto"/>
        <w:rPr>
          <w:rFonts w:ascii="Calibri" w:eastAsia="Times New Roman" w:hAnsi="Calibri" w:cs="Times New Roman"/>
        </w:rPr>
      </w:pPr>
      <w:r w:rsidRPr="002B0C42">
        <w:rPr>
          <w:rFonts w:ascii="Calibri" w:eastAsia="Times New Roman" w:hAnsi="Calibri" w:cs="Times New Roman"/>
        </w:rPr>
        <w:tab/>
      </w:r>
      <w:r w:rsidRPr="002B0C42">
        <w:rPr>
          <w:rFonts w:ascii="Calibri" w:eastAsia="Times New Roman" w:hAnsi="Calibri" w:cs="Times New Roman"/>
        </w:rPr>
        <w:tab/>
        <w:t>TOTAL</w:t>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r>
      <w:r w:rsidRPr="002B0C42">
        <w:rPr>
          <w:rFonts w:ascii="Calibri" w:eastAsia="Times New Roman" w:hAnsi="Calibri" w:cs="Times New Roman"/>
        </w:rPr>
        <w:tab/>
        <w:t xml:space="preserve"> </w:t>
      </w:r>
      <w:r w:rsidR="002F1EA1" w:rsidRPr="002B0C42">
        <w:rPr>
          <w:rFonts w:ascii="Calibri" w:eastAsia="Times New Roman" w:hAnsi="Calibri" w:cs="Times New Roman"/>
        </w:rPr>
        <w:t xml:space="preserve">$ </w:t>
      </w:r>
      <w:r w:rsidR="002B0C42" w:rsidRPr="002B0C42">
        <w:rPr>
          <w:rFonts w:ascii="Calibri" w:eastAsia="Times New Roman" w:hAnsi="Calibri" w:cs="Times New Roman"/>
        </w:rPr>
        <w:t xml:space="preserve">  508,706.92</w:t>
      </w:r>
    </w:p>
    <w:p w:rsidR="006579C3" w:rsidRPr="00FC57D8" w:rsidRDefault="006579C3" w:rsidP="00E03C34">
      <w:pPr>
        <w:spacing w:after="0" w:line="240" w:lineRule="auto"/>
        <w:rPr>
          <w:rFonts w:ascii="Calibri" w:eastAsia="Times New Roman" w:hAnsi="Calibri" w:cs="Times New Roman"/>
          <w:sz w:val="14"/>
        </w:rPr>
      </w:pPr>
    </w:p>
    <w:p w:rsidR="00E00480" w:rsidRPr="002F1EA1" w:rsidRDefault="00E00480" w:rsidP="00E03C34">
      <w:pPr>
        <w:spacing w:after="0" w:line="240" w:lineRule="auto"/>
        <w:rPr>
          <w:rFonts w:ascii="Calibri" w:eastAsia="Times New Roman" w:hAnsi="Calibri" w:cs="Times New Roman"/>
          <w:sz w:val="14"/>
        </w:rPr>
      </w:pPr>
    </w:p>
    <w:p w:rsidR="00FD46C9" w:rsidRDefault="00DD2511" w:rsidP="00E03C34">
      <w:pPr>
        <w:spacing w:after="0" w:line="240" w:lineRule="auto"/>
        <w:rPr>
          <w:rFonts w:cs="Times New Roman"/>
          <w:szCs w:val="24"/>
        </w:rPr>
      </w:pPr>
      <w:r>
        <w:rPr>
          <w:rFonts w:cs="Times New Roman"/>
          <w:szCs w:val="24"/>
        </w:rPr>
        <w:t>Frion stated that the new City website should be up and running within the next month.  Ordinances will eventually be published on the website along with residents being able to view and pay their utility bill online.  Utility workers have been declared essential workers and will be part of the 1b phase in receiving the C</w:t>
      </w:r>
      <w:r w:rsidR="00B559B3">
        <w:rPr>
          <w:rFonts w:cs="Times New Roman"/>
          <w:szCs w:val="24"/>
        </w:rPr>
        <w:t xml:space="preserve">OVID-19 </w:t>
      </w:r>
      <w:r>
        <w:rPr>
          <w:rFonts w:cs="Times New Roman"/>
          <w:szCs w:val="24"/>
        </w:rPr>
        <w:t xml:space="preserve">vaccination.  </w:t>
      </w:r>
    </w:p>
    <w:p w:rsidR="00656FE0" w:rsidRPr="002F1EA1" w:rsidRDefault="00656FE0" w:rsidP="00E03C34">
      <w:pPr>
        <w:spacing w:after="0" w:line="240" w:lineRule="auto"/>
        <w:rPr>
          <w:rFonts w:cs="Times New Roman"/>
          <w:szCs w:val="24"/>
        </w:rPr>
      </w:pPr>
    </w:p>
    <w:p w:rsidR="00B559B3" w:rsidRDefault="00B559B3" w:rsidP="00E03C34">
      <w:pPr>
        <w:spacing w:after="0" w:line="240" w:lineRule="auto"/>
        <w:rPr>
          <w:rFonts w:cs="Times New Roman"/>
          <w:szCs w:val="24"/>
        </w:rPr>
      </w:pPr>
      <w:r>
        <w:rPr>
          <w:rFonts w:cs="Times New Roman"/>
          <w:szCs w:val="24"/>
        </w:rPr>
        <w:t>Discussion regarding the usage and the maintenance of the Bloomer baseball field took place.  The lease agreement with the Bloomer School District has not been review</w:t>
      </w:r>
      <w:r w:rsidR="007E3717">
        <w:rPr>
          <w:rFonts w:cs="Times New Roman"/>
          <w:szCs w:val="24"/>
        </w:rPr>
        <w:t>ed</w:t>
      </w:r>
      <w:r>
        <w:rPr>
          <w:rFonts w:cs="Times New Roman"/>
          <w:szCs w:val="24"/>
        </w:rPr>
        <w:t xml:space="preserve"> since 2004.  The Bloomer Woodticks baseball team also utilize</w:t>
      </w:r>
      <w:r w:rsidR="007E3717">
        <w:rPr>
          <w:rFonts w:cs="Times New Roman"/>
          <w:szCs w:val="24"/>
        </w:rPr>
        <w:t>s</w:t>
      </w:r>
      <w:r>
        <w:rPr>
          <w:rFonts w:cs="Times New Roman"/>
          <w:szCs w:val="24"/>
        </w:rPr>
        <w:t xml:space="preserve"> the field for their games.  There are some maintenance items that should be addressed in order to keep the field up to par for continual usage</w:t>
      </w:r>
      <w:r w:rsidR="007E3717">
        <w:rPr>
          <w:rFonts w:cs="Times New Roman"/>
          <w:szCs w:val="24"/>
        </w:rPr>
        <w:t xml:space="preserve"> by both parties</w:t>
      </w:r>
      <w:r>
        <w:rPr>
          <w:rFonts w:cs="Times New Roman"/>
          <w:szCs w:val="24"/>
        </w:rPr>
        <w:t>.  It was suggested that a separate lease agreement</w:t>
      </w:r>
      <w:r w:rsidR="007E3717">
        <w:rPr>
          <w:rFonts w:cs="Times New Roman"/>
          <w:szCs w:val="24"/>
        </w:rPr>
        <w:t xml:space="preserve"> should be drawn up for the Bloomer Woodticks.  Administrator Frion will work with legal counsel to draft revised lease agreements and bring forward at a future meeting for consideration.</w:t>
      </w:r>
    </w:p>
    <w:p w:rsidR="007E3717" w:rsidRDefault="007E3717" w:rsidP="00E03C34">
      <w:pPr>
        <w:spacing w:after="0" w:line="240" w:lineRule="auto"/>
        <w:rPr>
          <w:rFonts w:cs="Times New Roman"/>
          <w:szCs w:val="24"/>
        </w:rPr>
      </w:pPr>
    </w:p>
    <w:p w:rsidR="007E3717" w:rsidRPr="00D06FB0" w:rsidRDefault="00D06FB0" w:rsidP="00E03C34">
      <w:pPr>
        <w:spacing w:after="0" w:line="240" w:lineRule="auto"/>
        <w:rPr>
          <w:rFonts w:cs="Times New Roman"/>
          <w:szCs w:val="24"/>
          <w:u w:val="single"/>
        </w:rPr>
      </w:pPr>
      <w:r w:rsidRPr="00D06FB0">
        <w:rPr>
          <w:rFonts w:cs="Times New Roman"/>
          <w:szCs w:val="24"/>
          <w:u w:val="single"/>
        </w:rPr>
        <w:t>Motion by Baribeau to amend the Employee Handbook – Retirement to read:</w:t>
      </w:r>
    </w:p>
    <w:p w:rsidR="00D06FB0" w:rsidRDefault="00D06FB0" w:rsidP="00E03C34">
      <w:pPr>
        <w:spacing w:after="0" w:line="240" w:lineRule="auto"/>
        <w:rPr>
          <w:rFonts w:cs="Times New Roman"/>
          <w:szCs w:val="24"/>
        </w:rPr>
      </w:pPr>
    </w:p>
    <w:p w:rsidR="00D06FB0" w:rsidRPr="00D06FB0" w:rsidRDefault="00D06FB0" w:rsidP="00D06FB0">
      <w:pPr>
        <w:numPr>
          <w:ilvl w:val="0"/>
          <w:numId w:val="10"/>
        </w:numPr>
        <w:tabs>
          <w:tab w:val="left" w:pos="-1080"/>
          <w:tab w:val="left" w:pos="-720"/>
        </w:tabs>
        <w:autoSpaceDE w:val="0"/>
        <w:autoSpaceDN w:val="0"/>
        <w:adjustRightInd w:val="0"/>
        <w:spacing w:after="0" w:line="240" w:lineRule="auto"/>
        <w:jc w:val="both"/>
        <w:rPr>
          <w:rFonts w:ascii="Calibri" w:eastAsia="Times New Roman" w:hAnsi="Calibri" w:cs="Times New Roman"/>
          <w:spacing w:val="-2"/>
        </w:rPr>
      </w:pPr>
      <w:r w:rsidRPr="00D06FB0">
        <w:rPr>
          <w:rFonts w:ascii="Calibri" w:eastAsia="Times New Roman" w:hAnsi="Calibri" w:cs="Univers"/>
        </w:rPr>
        <w:t xml:space="preserve">The City shall contribute twelve and a half percent (12.5%) of all non-represented, full-time employee’s regular hourly wage, including full-time Library staff, to the respective employee’s pension plan based on a standard 2,080 hour calendar work-year.   For the purpose of calculating retirement hour contributions, paid time off such as vacation, holiday, sick leave, and funeral leave shall be included.  </w:t>
      </w:r>
      <w:r w:rsidRPr="00D06FB0">
        <w:rPr>
          <w:rFonts w:ascii="Calibri" w:eastAsia="Times New Roman" w:hAnsi="Calibri" w:cs="Times New Roman"/>
          <w:spacing w:val="-2"/>
        </w:rPr>
        <w:t xml:space="preserve">Pension contributions shall be paid by the City on a bi-weekly payroll basis, to the employee’s retirement fund as determined by the Common Council.  </w:t>
      </w:r>
    </w:p>
    <w:p w:rsidR="00D06FB0" w:rsidRPr="00D06FB0" w:rsidRDefault="00D06FB0" w:rsidP="00D06FB0">
      <w:pPr>
        <w:tabs>
          <w:tab w:val="left" w:pos="-1080"/>
          <w:tab w:val="left" w:pos="-720"/>
        </w:tabs>
        <w:autoSpaceDE w:val="0"/>
        <w:autoSpaceDN w:val="0"/>
        <w:adjustRightInd w:val="0"/>
        <w:spacing w:after="0" w:line="240" w:lineRule="auto"/>
        <w:ind w:left="1800"/>
        <w:jc w:val="both"/>
        <w:rPr>
          <w:rFonts w:ascii="Calibri" w:eastAsia="Times New Roman" w:hAnsi="Calibri" w:cs="Times New Roman"/>
          <w:spacing w:val="-2"/>
        </w:rPr>
      </w:pPr>
    </w:p>
    <w:p w:rsidR="00D06FB0" w:rsidRPr="00D06FB0" w:rsidRDefault="00D06FB0" w:rsidP="00D06FB0">
      <w:pPr>
        <w:tabs>
          <w:tab w:val="left" w:pos="-1080"/>
          <w:tab w:val="left" w:pos="-720"/>
        </w:tabs>
        <w:autoSpaceDE w:val="0"/>
        <w:autoSpaceDN w:val="0"/>
        <w:adjustRightInd w:val="0"/>
        <w:spacing w:after="0" w:line="240" w:lineRule="auto"/>
        <w:ind w:left="2160"/>
        <w:jc w:val="both"/>
        <w:rPr>
          <w:rFonts w:ascii="Calibri" w:eastAsia="Times New Roman" w:hAnsi="Calibri" w:cs="Times New Roman"/>
          <w:spacing w:val="-2"/>
        </w:rPr>
      </w:pPr>
      <w:r w:rsidRPr="00D06FB0">
        <w:rPr>
          <w:rFonts w:ascii="Calibri" w:eastAsia="Times New Roman" w:hAnsi="Calibri" w:cs="Times New Roman"/>
          <w:spacing w:val="-2"/>
        </w:rPr>
        <w:t>Employees hired prior to January 1</w:t>
      </w:r>
      <w:r w:rsidRPr="00D06FB0">
        <w:rPr>
          <w:rFonts w:ascii="Calibri" w:eastAsia="Times New Roman" w:hAnsi="Calibri" w:cs="Times New Roman"/>
          <w:spacing w:val="-2"/>
          <w:vertAlign w:val="superscript"/>
        </w:rPr>
        <w:t>st</w:t>
      </w:r>
      <w:r w:rsidRPr="00D06FB0">
        <w:rPr>
          <w:rFonts w:ascii="Calibri" w:eastAsia="Times New Roman" w:hAnsi="Calibri" w:cs="Times New Roman"/>
          <w:spacing w:val="-2"/>
        </w:rPr>
        <w:t>, 2021, were given an opportunity to ‘opt-in’ to the Wisconsin State Retirement system (WRS) administered by the Wisconsin Department of Employee Trust Funds.</w:t>
      </w:r>
    </w:p>
    <w:p w:rsidR="00D06FB0" w:rsidRPr="00D06FB0" w:rsidRDefault="00D06FB0" w:rsidP="00D06FB0">
      <w:pPr>
        <w:tabs>
          <w:tab w:val="left" w:pos="-1080"/>
          <w:tab w:val="left" w:pos="-720"/>
        </w:tabs>
        <w:autoSpaceDE w:val="0"/>
        <w:autoSpaceDN w:val="0"/>
        <w:adjustRightInd w:val="0"/>
        <w:spacing w:after="0" w:line="240" w:lineRule="auto"/>
        <w:ind w:left="2160"/>
        <w:jc w:val="both"/>
        <w:rPr>
          <w:rFonts w:ascii="Calibri" w:eastAsia="Times New Roman" w:hAnsi="Calibri" w:cs="Times New Roman"/>
          <w:spacing w:val="-2"/>
        </w:rPr>
      </w:pPr>
    </w:p>
    <w:p w:rsidR="00D06FB0" w:rsidRPr="00D06FB0" w:rsidRDefault="00D06FB0" w:rsidP="00D06FB0">
      <w:pPr>
        <w:tabs>
          <w:tab w:val="left" w:pos="-1080"/>
          <w:tab w:val="left" w:pos="-720"/>
        </w:tabs>
        <w:autoSpaceDE w:val="0"/>
        <w:autoSpaceDN w:val="0"/>
        <w:adjustRightInd w:val="0"/>
        <w:spacing w:after="0" w:line="240" w:lineRule="auto"/>
        <w:ind w:left="2160"/>
        <w:jc w:val="both"/>
        <w:rPr>
          <w:rFonts w:ascii="Calibri" w:eastAsia="Times New Roman" w:hAnsi="Calibri" w:cs="Times New Roman"/>
          <w:spacing w:val="-2"/>
        </w:rPr>
      </w:pPr>
      <w:r w:rsidRPr="00D06FB0">
        <w:rPr>
          <w:rFonts w:ascii="Calibri" w:eastAsia="Times New Roman" w:hAnsi="Calibri" w:cs="Times New Roman"/>
          <w:spacing w:val="-2"/>
        </w:rPr>
        <w:t>Effective January 1</w:t>
      </w:r>
      <w:r w:rsidRPr="00D06FB0">
        <w:rPr>
          <w:rFonts w:ascii="Calibri" w:eastAsia="Times New Roman" w:hAnsi="Calibri" w:cs="Times New Roman"/>
          <w:spacing w:val="-2"/>
          <w:vertAlign w:val="superscript"/>
        </w:rPr>
        <w:t>st</w:t>
      </w:r>
      <w:r w:rsidRPr="00D06FB0">
        <w:rPr>
          <w:rFonts w:ascii="Calibri" w:eastAsia="Times New Roman" w:hAnsi="Calibri" w:cs="Times New Roman"/>
          <w:spacing w:val="-2"/>
        </w:rPr>
        <w:t>, 2021, the City of Bloomer is required to cover employees who ‘opted-in’ and anyone hired on or after January 1</w:t>
      </w:r>
      <w:r w:rsidRPr="00D06FB0">
        <w:rPr>
          <w:rFonts w:ascii="Calibri" w:eastAsia="Times New Roman" w:hAnsi="Calibri" w:cs="Times New Roman"/>
          <w:spacing w:val="-2"/>
          <w:vertAlign w:val="superscript"/>
        </w:rPr>
        <w:t>st</w:t>
      </w:r>
      <w:r w:rsidRPr="00D06FB0">
        <w:rPr>
          <w:rFonts w:ascii="Calibri" w:eastAsia="Times New Roman" w:hAnsi="Calibri" w:cs="Times New Roman"/>
          <w:spacing w:val="-2"/>
        </w:rPr>
        <w:t>, 2021, under the Wisconsin State Retirement system (WRS) if the employee meets WRS participation standards:</w:t>
      </w:r>
    </w:p>
    <w:p w:rsidR="00D06FB0" w:rsidRPr="00D06FB0" w:rsidRDefault="00D06FB0" w:rsidP="00D06FB0">
      <w:pPr>
        <w:tabs>
          <w:tab w:val="left" w:pos="-1080"/>
          <w:tab w:val="left" w:pos="-720"/>
        </w:tabs>
        <w:autoSpaceDE w:val="0"/>
        <w:autoSpaceDN w:val="0"/>
        <w:adjustRightInd w:val="0"/>
        <w:spacing w:after="0" w:line="240" w:lineRule="auto"/>
        <w:ind w:left="2160"/>
        <w:jc w:val="both"/>
        <w:rPr>
          <w:rFonts w:ascii="Calibri" w:eastAsia="Times New Roman" w:hAnsi="Calibri" w:cs="Times New Roman"/>
          <w:spacing w:val="-2"/>
        </w:rPr>
      </w:pPr>
    </w:p>
    <w:p w:rsidR="00D06FB0" w:rsidRPr="00D06FB0" w:rsidRDefault="00D06FB0" w:rsidP="00D06FB0">
      <w:pPr>
        <w:numPr>
          <w:ilvl w:val="4"/>
          <w:numId w:val="11"/>
        </w:numPr>
        <w:tabs>
          <w:tab w:val="left" w:pos="-1080"/>
          <w:tab w:val="left" w:pos="-720"/>
        </w:tabs>
        <w:autoSpaceDE w:val="0"/>
        <w:autoSpaceDN w:val="0"/>
        <w:adjustRightInd w:val="0"/>
        <w:spacing w:after="0" w:line="240" w:lineRule="auto"/>
        <w:ind w:left="3060" w:hanging="540"/>
        <w:jc w:val="both"/>
        <w:rPr>
          <w:rFonts w:ascii="Calibri" w:eastAsia="Times New Roman" w:hAnsi="Calibri" w:cs="Times New Roman"/>
          <w:spacing w:val="-2"/>
        </w:rPr>
      </w:pPr>
      <w:r w:rsidRPr="00D06FB0">
        <w:rPr>
          <w:rFonts w:ascii="Calibri" w:eastAsia="Times New Roman" w:hAnsi="Calibri" w:cs="Times New Roman"/>
          <w:spacing w:val="-2"/>
        </w:rPr>
        <w:t>If the employee was employed by a WRS employer before July 1, 2011, to qualify for WRS coverage the employee shall be expected to work for at least one full year and at least one-third of full-time (600 h</w:t>
      </w:r>
      <w:r w:rsidR="002B0C42">
        <w:rPr>
          <w:rFonts w:ascii="Calibri" w:eastAsia="Times New Roman" w:hAnsi="Calibri" w:cs="Times New Roman"/>
          <w:spacing w:val="-2"/>
        </w:rPr>
        <w:t>ou</w:t>
      </w:r>
      <w:r w:rsidRPr="00D06FB0">
        <w:rPr>
          <w:rFonts w:ascii="Calibri" w:eastAsia="Times New Roman" w:hAnsi="Calibri" w:cs="Times New Roman"/>
          <w:spacing w:val="-2"/>
        </w:rPr>
        <w:t>rs).</w:t>
      </w:r>
    </w:p>
    <w:p w:rsidR="00D06FB0" w:rsidRPr="00D06FB0" w:rsidRDefault="00D06FB0" w:rsidP="00D06FB0">
      <w:pPr>
        <w:tabs>
          <w:tab w:val="left" w:pos="-1080"/>
          <w:tab w:val="left" w:pos="-720"/>
        </w:tabs>
        <w:autoSpaceDE w:val="0"/>
        <w:autoSpaceDN w:val="0"/>
        <w:adjustRightInd w:val="0"/>
        <w:spacing w:after="0" w:line="240" w:lineRule="auto"/>
        <w:ind w:left="3060"/>
        <w:jc w:val="both"/>
        <w:rPr>
          <w:rFonts w:ascii="Calibri" w:eastAsia="Times New Roman" w:hAnsi="Calibri" w:cs="Times New Roman"/>
          <w:spacing w:val="-2"/>
        </w:rPr>
      </w:pPr>
    </w:p>
    <w:p w:rsidR="00D06FB0" w:rsidRPr="00D06FB0" w:rsidRDefault="00D06FB0" w:rsidP="00D06FB0">
      <w:pPr>
        <w:numPr>
          <w:ilvl w:val="4"/>
          <w:numId w:val="11"/>
        </w:numPr>
        <w:tabs>
          <w:tab w:val="left" w:pos="-1080"/>
          <w:tab w:val="left" w:pos="-720"/>
        </w:tabs>
        <w:autoSpaceDE w:val="0"/>
        <w:autoSpaceDN w:val="0"/>
        <w:adjustRightInd w:val="0"/>
        <w:spacing w:after="0" w:line="240" w:lineRule="auto"/>
        <w:ind w:left="3060" w:hanging="540"/>
        <w:jc w:val="both"/>
        <w:rPr>
          <w:rFonts w:ascii="Calibri" w:eastAsia="Times New Roman" w:hAnsi="Calibri" w:cs="Times New Roman"/>
          <w:spacing w:val="-2"/>
        </w:rPr>
      </w:pPr>
      <w:r w:rsidRPr="00D06FB0">
        <w:rPr>
          <w:rFonts w:ascii="Calibri" w:eastAsia="Times New Roman" w:hAnsi="Calibri" w:cs="Times New Roman"/>
          <w:spacing w:val="-2"/>
        </w:rPr>
        <w:lastRenderedPageBreak/>
        <w:t>If the employee began employmen</w:t>
      </w:r>
      <w:bookmarkStart w:id="0" w:name="_GoBack"/>
      <w:bookmarkEnd w:id="0"/>
      <w:r w:rsidRPr="00D06FB0">
        <w:rPr>
          <w:rFonts w:ascii="Calibri" w:eastAsia="Times New Roman" w:hAnsi="Calibri" w:cs="Times New Roman"/>
          <w:spacing w:val="-2"/>
        </w:rPr>
        <w:t>t with a WRS-employer on or after July 1, 2011, to qualify for WRS coverage the employee shall be expected to work for at least one full year and at least two-thirds of full-time (1,200 hours).</w:t>
      </w:r>
    </w:p>
    <w:p w:rsidR="00D06FB0" w:rsidRPr="00D06FB0" w:rsidRDefault="00D06FB0" w:rsidP="00D06FB0">
      <w:pPr>
        <w:autoSpaceDE w:val="0"/>
        <w:autoSpaceDN w:val="0"/>
        <w:adjustRightInd w:val="0"/>
        <w:spacing w:after="0" w:line="240" w:lineRule="auto"/>
        <w:ind w:left="720"/>
        <w:contextualSpacing/>
        <w:rPr>
          <w:rFonts w:ascii="Calibri" w:eastAsia="Times New Roman" w:hAnsi="Calibri" w:cs="Times New Roman"/>
          <w:spacing w:val="-2"/>
        </w:rPr>
      </w:pPr>
    </w:p>
    <w:p w:rsidR="00D06FB0" w:rsidRPr="00D06FB0" w:rsidRDefault="00D06FB0" w:rsidP="00D06FB0">
      <w:pPr>
        <w:numPr>
          <w:ilvl w:val="4"/>
          <w:numId w:val="11"/>
        </w:numPr>
        <w:tabs>
          <w:tab w:val="left" w:pos="-1080"/>
          <w:tab w:val="left" w:pos="-720"/>
        </w:tabs>
        <w:autoSpaceDE w:val="0"/>
        <w:autoSpaceDN w:val="0"/>
        <w:adjustRightInd w:val="0"/>
        <w:spacing w:after="0" w:line="240" w:lineRule="auto"/>
        <w:ind w:left="3060" w:hanging="540"/>
        <w:jc w:val="both"/>
        <w:rPr>
          <w:rFonts w:ascii="Calibri" w:eastAsia="Times New Roman" w:hAnsi="Calibri" w:cs="Times New Roman"/>
          <w:spacing w:val="-2"/>
        </w:rPr>
      </w:pPr>
      <w:r w:rsidRPr="00D06FB0">
        <w:rPr>
          <w:rFonts w:ascii="Calibri" w:eastAsia="Times New Roman" w:hAnsi="Calibri" w:cs="Times New Roman"/>
          <w:spacing w:val="-2"/>
        </w:rPr>
        <w:t>If neither criterion is expected to be met upon hire, the employee shall only be enrolled if he/she subsequently works at least 12-months, and in any 12-month period meets the hour requirement.</w:t>
      </w:r>
    </w:p>
    <w:p w:rsidR="00D06FB0" w:rsidRPr="00D06FB0" w:rsidRDefault="00D06FB0" w:rsidP="00D06FB0">
      <w:pPr>
        <w:autoSpaceDE w:val="0"/>
        <w:autoSpaceDN w:val="0"/>
        <w:adjustRightInd w:val="0"/>
        <w:spacing w:after="0" w:line="240" w:lineRule="auto"/>
        <w:ind w:left="720"/>
        <w:contextualSpacing/>
        <w:rPr>
          <w:rFonts w:ascii="Calibri" w:eastAsia="Times New Roman" w:hAnsi="Calibri" w:cs="Times New Roman"/>
          <w:spacing w:val="-2"/>
        </w:rPr>
      </w:pPr>
    </w:p>
    <w:p w:rsidR="00D06FB0" w:rsidRPr="00D06FB0" w:rsidRDefault="00D06FB0" w:rsidP="00D06FB0">
      <w:pPr>
        <w:tabs>
          <w:tab w:val="left" w:pos="-1080"/>
          <w:tab w:val="left" w:pos="-720"/>
        </w:tabs>
        <w:autoSpaceDE w:val="0"/>
        <w:autoSpaceDN w:val="0"/>
        <w:adjustRightInd w:val="0"/>
        <w:spacing w:after="0" w:line="240" w:lineRule="auto"/>
        <w:ind w:left="2160" w:hanging="720"/>
        <w:jc w:val="both"/>
        <w:rPr>
          <w:rFonts w:ascii="Calibri" w:eastAsia="Times New Roman" w:hAnsi="Calibri" w:cs="Times New Roman"/>
          <w:spacing w:val="-2"/>
        </w:rPr>
      </w:pPr>
      <w:r w:rsidRPr="00D06FB0">
        <w:rPr>
          <w:rFonts w:ascii="Calibri" w:eastAsia="Times New Roman" w:hAnsi="Calibri" w:cs="Times New Roman"/>
          <w:spacing w:val="-2"/>
        </w:rPr>
        <w:tab/>
        <w:t xml:space="preserve">Enrollment shall occur on the date of which eligibility is met as described above.  </w:t>
      </w:r>
    </w:p>
    <w:p w:rsidR="00D06FB0" w:rsidRPr="00D06FB0" w:rsidRDefault="00D06FB0" w:rsidP="00D06FB0">
      <w:pPr>
        <w:tabs>
          <w:tab w:val="left" w:pos="-1080"/>
          <w:tab w:val="left" w:pos="-720"/>
        </w:tabs>
        <w:autoSpaceDE w:val="0"/>
        <w:autoSpaceDN w:val="0"/>
        <w:adjustRightInd w:val="0"/>
        <w:spacing w:after="0" w:line="240" w:lineRule="auto"/>
        <w:ind w:left="2160" w:hanging="720"/>
        <w:jc w:val="both"/>
        <w:rPr>
          <w:rFonts w:ascii="Calibri" w:eastAsia="Times New Roman" w:hAnsi="Calibri" w:cs="Times New Roman"/>
          <w:spacing w:val="-2"/>
        </w:rPr>
      </w:pPr>
    </w:p>
    <w:p w:rsidR="00D06FB0" w:rsidRPr="00D06FB0" w:rsidRDefault="00D06FB0" w:rsidP="00D06FB0">
      <w:pPr>
        <w:tabs>
          <w:tab w:val="left" w:pos="-1080"/>
          <w:tab w:val="left" w:pos="-720"/>
        </w:tabs>
        <w:autoSpaceDE w:val="0"/>
        <w:autoSpaceDN w:val="0"/>
        <w:adjustRightInd w:val="0"/>
        <w:spacing w:after="0" w:line="240" w:lineRule="auto"/>
        <w:ind w:left="2160" w:hanging="720"/>
        <w:jc w:val="both"/>
        <w:rPr>
          <w:rFonts w:ascii="Calibri" w:eastAsia="Times New Roman" w:hAnsi="Calibri" w:cs="Times New Roman"/>
          <w:spacing w:val="-2"/>
        </w:rPr>
      </w:pPr>
      <w:r w:rsidRPr="00D06FB0">
        <w:rPr>
          <w:rFonts w:ascii="Calibri" w:eastAsia="Times New Roman" w:hAnsi="Calibri" w:cs="Times New Roman"/>
          <w:spacing w:val="-2"/>
        </w:rPr>
        <w:tab/>
        <w:t>Once eligible, coverage is mandatory and an employee may not “opt out” of WRS.   Both the City of Bloomer and the general municipal employee are required to pay “one half of the actuarially required contributions determined by the Employee Trust Funds.”  Employee contributions are made through payroll deduction and are deducted on a pre-tax basis.</w:t>
      </w:r>
    </w:p>
    <w:p w:rsidR="00D06FB0" w:rsidRDefault="00D06FB0" w:rsidP="00E03C34">
      <w:pPr>
        <w:spacing w:after="0" w:line="240" w:lineRule="auto"/>
        <w:rPr>
          <w:rFonts w:cs="Times New Roman"/>
          <w:szCs w:val="24"/>
        </w:rPr>
      </w:pPr>
    </w:p>
    <w:p w:rsidR="00D06FB0" w:rsidRPr="00D06FB0" w:rsidRDefault="00D06FB0" w:rsidP="00E03C34">
      <w:pPr>
        <w:spacing w:after="0" w:line="240" w:lineRule="auto"/>
        <w:rPr>
          <w:rFonts w:cs="Times New Roman"/>
          <w:szCs w:val="24"/>
          <w:u w:val="single"/>
        </w:rPr>
      </w:pPr>
      <w:r w:rsidRPr="00D06FB0">
        <w:rPr>
          <w:rFonts w:cs="Times New Roman"/>
          <w:szCs w:val="24"/>
          <w:u w:val="single"/>
        </w:rPr>
        <w:t>Bauch seconded the motion.  Motion carried.</w:t>
      </w:r>
    </w:p>
    <w:p w:rsidR="00161D12" w:rsidRPr="00B559B3" w:rsidRDefault="00B559B3" w:rsidP="00E03C34">
      <w:pPr>
        <w:spacing w:after="0" w:line="240" w:lineRule="auto"/>
        <w:rPr>
          <w:rFonts w:cs="Times New Roman"/>
          <w:szCs w:val="24"/>
        </w:rPr>
      </w:pPr>
      <w:r>
        <w:rPr>
          <w:rFonts w:cs="Times New Roman"/>
          <w:szCs w:val="24"/>
        </w:rPr>
        <w:t xml:space="preserve">  </w:t>
      </w:r>
    </w:p>
    <w:p w:rsidR="0044505B" w:rsidRDefault="00181859" w:rsidP="00E03C34">
      <w:pPr>
        <w:spacing w:after="0" w:line="240" w:lineRule="auto"/>
        <w:rPr>
          <w:rFonts w:ascii="Calibri" w:eastAsia="Times New Roman" w:hAnsi="Calibri" w:cs="Times New Roman"/>
          <w:u w:val="single"/>
        </w:rPr>
      </w:pPr>
      <w:r>
        <w:rPr>
          <w:rFonts w:cs="Times New Roman"/>
          <w:szCs w:val="24"/>
          <w:u w:val="single"/>
        </w:rPr>
        <w:t>M</w:t>
      </w:r>
      <w:r w:rsidR="00B71ABA">
        <w:rPr>
          <w:rFonts w:cs="Times New Roman"/>
          <w:szCs w:val="24"/>
          <w:u w:val="single"/>
        </w:rPr>
        <w:t xml:space="preserve">otion </w:t>
      </w:r>
      <w:r w:rsidR="0060468C">
        <w:rPr>
          <w:rFonts w:cs="Times New Roman"/>
          <w:szCs w:val="24"/>
          <w:u w:val="single"/>
        </w:rPr>
        <w:t xml:space="preserve">by </w:t>
      </w:r>
      <w:r w:rsidR="00D06FB0">
        <w:rPr>
          <w:rFonts w:cs="Times New Roman"/>
          <w:szCs w:val="24"/>
          <w:u w:val="single"/>
        </w:rPr>
        <w:t>Reischel</w:t>
      </w:r>
      <w:r>
        <w:rPr>
          <w:rFonts w:cs="Times New Roman"/>
          <w:szCs w:val="24"/>
          <w:u w:val="single"/>
        </w:rPr>
        <w:t xml:space="preserve"> </w:t>
      </w:r>
      <w:r w:rsidR="00B71ABA">
        <w:rPr>
          <w:rFonts w:cs="Times New Roman"/>
          <w:szCs w:val="24"/>
          <w:u w:val="single"/>
        </w:rPr>
        <w:t xml:space="preserve">to adjourn.  </w:t>
      </w:r>
      <w:r w:rsidR="00D06FB0">
        <w:rPr>
          <w:rFonts w:cs="Times New Roman"/>
          <w:szCs w:val="24"/>
          <w:u w:val="single"/>
        </w:rPr>
        <w:t>Meinen</w:t>
      </w:r>
      <w:r w:rsidR="00B71ABA">
        <w:rPr>
          <w:rFonts w:cs="Times New Roman"/>
          <w:szCs w:val="24"/>
          <w:u w:val="single"/>
        </w:rPr>
        <w:t xml:space="preserve"> seconded the motion.  Motion carried.</w:t>
      </w:r>
    </w:p>
    <w:p w:rsidR="00351030" w:rsidRDefault="00351030" w:rsidP="00E03C34">
      <w:pPr>
        <w:spacing w:after="0" w:line="240" w:lineRule="auto"/>
        <w:rPr>
          <w:rFonts w:ascii="Calibri" w:eastAsia="Times New Roman" w:hAnsi="Calibri" w:cs="Times New Roman"/>
        </w:rPr>
      </w:pPr>
    </w:p>
    <w:p w:rsidR="00181859" w:rsidRDefault="00181859" w:rsidP="00E03C34">
      <w:pPr>
        <w:spacing w:after="0" w:line="240" w:lineRule="auto"/>
        <w:rPr>
          <w:rFonts w:ascii="Calibri" w:eastAsia="Times New Roman" w:hAnsi="Calibri" w:cs="Times New Roman"/>
        </w:rPr>
      </w:pPr>
    </w:p>
    <w:p w:rsidR="001F3FCB" w:rsidRDefault="00627A8C" w:rsidP="00627A8C">
      <w:pPr>
        <w:tabs>
          <w:tab w:val="left" w:pos="5040"/>
        </w:tabs>
        <w:spacing w:after="0" w:line="240" w:lineRule="auto"/>
        <w:rPr>
          <w:rFonts w:ascii="Calibri" w:eastAsia="Times New Roman" w:hAnsi="Calibri" w:cs="Times New Roman"/>
        </w:rPr>
      </w:pPr>
      <w:r>
        <w:rPr>
          <w:rFonts w:ascii="Calibri" w:eastAsia="Times New Roman" w:hAnsi="Calibri" w:cs="Times New Roman"/>
        </w:rPr>
        <w:tab/>
      </w:r>
      <w:r w:rsidR="00A452DE">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405BEC">
      <w:pgSz w:w="12240" w:h="20160" w:code="5"/>
      <w:pgMar w:top="990" w:right="900" w:bottom="45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5CA4"/>
    <w:rsid w:val="00005FCD"/>
    <w:rsid w:val="00007737"/>
    <w:rsid w:val="00010F40"/>
    <w:rsid w:val="0001113E"/>
    <w:rsid w:val="000125E5"/>
    <w:rsid w:val="00014CD7"/>
    <w:rsid w:val="000163DB"/>
    <w:rsid w:val="00020041"/>
    <w:rsid w:val="0002086F"/>
    <w:rsid w:val="000248F3"/>
    <w:rsid w:val="00033294"/>
    <w:rsid w:val="00036364"/>
    <w:rsid w:val="00064701"/>
    <w:rsid w:val="000661F5"/>
    <w:rsid w:val="00066C36"/>
    <w:rsid w:val="000679AE"/>
    <w:rsid w:val="000707EB"/>
    <w:rsid w:val="0007164D"/>
    <w:rsid w:val="000728FE"/>
    <w:rsid w:val="000729FC"/>
    <w:rsid w:val="0007474A"/>
    <w:rsid w:val="000777A7"/>
    <w:rsid w:val="00077A24"/>
    <w:rsid w:val="00080878"/>
    <w:rsid w:val="0008286E"/>
    <w:rsid w:val="0008533A"/>
    <w:rsid w:val="0008543D"/>
    <w:rsid w:val="00086658"/>
    <w:rsid w:val="000876F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5AC5"/>
    <w:rsid w:val="000C60BE"/>
    <w:rsid w:val="000C6328"/>
    <w:rsid w:val="000D4DE4"/>
    <w:rsid w:val="000D76E0"/>
    <w:rsid w:val="000E2584"/>
    <w:rsid w:val="000E77B3"/>
    <w:rsid w:val="000F0292"/>
    <w:rsid w:val="000F2840"/>
    <w:rsid w:val="00104D55"/>
    <w:rsid w:val="00105A78"/>
    <w:rsid w:val="00106055"/>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BE4"/>
    <w:rsid w:val="001610DD"/>
    <w:rsid w:val="00161D12"/>
    <w:rsid w:val="00161ED2"/>
    <w:rsid w:val="00167A67"/>
    <w:rsid w:val="00173C9F"/>
    <w:rsid w:val="00175BBC"/>
    <w:rsid w:val="00180AD0"/>
    <w:rsid w:val="00180C87"/>
    <w:rsid w:val="00181859"/>
    <w:rsid w:val="001A1B13"/>
    <w:rsid w:val="001A33C5"/>
    <w:rsid w:val="001A448E"/>
    <w:rsid w:val="001A6652"/>
    <w:rsid w:val="001B0ABD"/>
    <w:rsid w:val="001B1279"/>
    <w:rsid w:val="001B2909"/>
    <w:rsid w:val="001B40E2"/>
    <w:rsid w:val="001B65CF"/>
    <w:rsid w:val="001B6603"/>
    <w:rsid w:val="001C0373"/>
    <w:rsid w:val="001C087D"/>
    <w:rsid w:val="001C28B1"/>
    <w:rsid w:val="001D12CC"/>
    <w:rsid w:val="001D3CCC"/>
    <w:rsid w:val="001D70CC"/>
    <w:rsid w:val="001E30CA"/>
    <w:rsid w:val="001E4085"/>
    <w:rsid w:val="001E6039"/>
    <w:rsid w:val="001E6FFE"/>
    <w:rsid w:val="001F181D"/>
    <w:rsid w:val="001F1C4E"/>
    <w:rsid w:val="001F2DFA"/>
    <w:rsid w:val="001F2E22"/>
    <w:rsid w:val="001F3E56"/>
    <w:rsid w:val="001F3FCB"/>
    <w:rsid w:val="00201523"/>
    <w:rsid w:val="0020181C"/>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BB3"/>
    <w:rsid w:val="00256A1E"/>
    <w:rsid w:val="0026294B"/>
    <w:rsid w:val="00266601"/>
    <w:rsid w:val="00270762"/>
    <w:rsid w:val="00280679"/>
    <w:rsid w:val="00281296"/>
    <w:rsid w:val="00282455"/>
    <w:rsid w:val="0028254E"/>
    <w:rsid w:val="00284068"/>
    <w:rsid w:val="00285FF8"/>
    <w:rsid w:val="00287F20"/>
    <w:rsid w:val="0029346D"/>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4D8"/>
    <w:rsid w:val="002F0970"/>
    <w:rsid w:val="002F0A47"/>
    <w:rsid w:val="002F1EA1"/>
    <w:rsid w:val="00313331"/>
    <w:rsid w:val="00314C98"/>
    <w:rsid w:val="00314CFD"/>
    <w:rsid w:val="003215D4"/>
    <w:rsid w:val="00321BB5"/>
    <w:rsid w:val="00321FEE"/>
    <w:rsid w:val="003276B7"/>
    <w:rsid w:val="00331A63"/>
    <w:rsid w:val="0033363F"/>
    <w:rsid w:val="003351AA"/>
    <w:rsid w:val="003378A5"/>
    <w:rsid w:val="00347B36"/>
    <w:rsid w:val="00351030"/>
    <w:rsid w:val="0036104F"/>
    <w:rsid w:val="0036370F"/>
    <w:rsid w:val="00363D0C"/>
    <w:rsid w:val="00364945"/>
    <w:rsid w:val="00371E8F"/>
    <w:rsid w:val="00374758"/>
    <w:rsid w:val="00374C09"/>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4E8E"/>
    <w:rsid w:val="0041641E"/>
    <w:rsid w:val="00417A74"/>
    <w:rsid w:val="00420102"/>
    <w:rsid w:val="004218CF"/>
    <w:rsid w:val="00427D22"/>
    <w:rsid w:val="00432211"/>
    <w:rsid w:val="004323D2"/>
    <w:rsid w:val="004332D2"/>
    <w:rsid w:val="00435B49"/>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82541"/>
    <w:rsid w:val="00482EFC"/>
    <w:rsid w:val="004938C1"/>
    <w:rsid w:val="004A3B63"/>
    <w:rsid w:val="004A49A3"/>
    <w:rsid w:val="004A68EF"/>
    <w:rsid w:val="004B1442"/>
    <w:rsid w:val="004B4921"/>
    <w:rsid w:val="004B706D"/>
    <w:rsid w:val="004B7850"/>
    <w:rsid w:val="004C03B8"/>
    <w:rsid w:val="004C09AE"/>
    <w:rsid w:val="004C26D4"/>
    <w:rsid w:val="004C3C52"/>
    <w:rsid w:val="004D03B9"/>
    <w:rsid w:val="004D0455"/>
    <w:rsid w:val="004D137D"/>
    <w:rsid w:val="004D6765"/>
    <w:rsid w:val="004D768C"/>
    <w:rsid w:val="004D7833"/>
    <w:rsid w:val="004E2279"/>
    <w:rsid w:val="004E5F8A"/>
    <w:rsid w:val="004F6190"/>
    <w:rsid w:val="004F7290"/>
    <w:rsid w:val="00502461"/>
    <w:rsid w:val="00502881"/>
    <w:rsid w:val="00502DE9"/>
    <w:rsid w:val="005047E7"/>
    <w:rsid w:val="00505514"/>
    <w:rsid w:val="00511BD4"/>
    <w:rsid w:val="00512050"/>
    <w:rsid w:val="00512FE0"/>
    <w:rsid w:val="005176C6"/>
    <w:rsid w:val="005234F6"/>
    <w:rsid w:val="00532A29"/>
    <w:rsid w:val="0053679C"/>
    <w:rsid w:val="0054231E"/>
    <w:rsid w:val="00542909"/>
    <w:rsid w:val="005458A2"/>
    <w:rsid w:val="005501FD"/>
    <w:rsid w:val="00554BD4"/>
    <w:rsid w:val="005552BE"/>
    <w:rsid w:val="00556F82"/>
    <w:rsid w:val="00561816"/>
    <w:rsid w:val="005622D1"/>
    <w:rsid w:val="005638E1"/>
    <w:rsid w:val="005647DB"/>
    <w:rsid w:val="005701E7"/>
    <w:rsid w:val="00573329"/>
    <w:rsid w:val="00574BC4"/>
    <w:rsid w:val="0058227D"/>
    <w:rsid w:val="00582AF0"/>
    <w:rsid w:val="005834E8"/>
    <w:rsid w:val="00587431"/>
    <w:rsid w:val="00587A08"/>
    <w:rsid w:val="00592C8A"/>
    <w:rsid w:val="00596A8C"/>
    <w:rsid w:val="005A51BE"/>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F2E15"/>
    <w:rsid w:val="005F3BD3"/>
    <w:rsid w:val="005F40CE"/>
    <w:rsid w:val="00602B1C"/>
    <w:rsid w:val="0060468C"/>
    <w:rsid w:val="006079DC"/>
    <w:rsid w:val="00615300"/>
    <w:rsid w:val="006154AC"/>
    <w:rsid w:val="006243AC"/>
    <w:rsid w:val="00627A8C"/>
    <w:rsid w:val="0063096C"/>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112E"/>
    <w:rsid w:val="006B3A22"/>
    <w:rsid w:val="006B40E6"/>
    <w:rsid w:val="006B5AA5"/>
    <w:rsid w:val="006B5F15"/>
    <w:rsid w:val="006B7B27"/>
    <w:rsid w:val="006C5FE2"/>
    <w:rsid w:val="006C6D00"/>
    <w:rsid w:val="006D18B2"/>
    <w:rsid w:val="006D1A0B"/>
    <w:rsid w:val="006D1FC0"/>
    <w:rsid w:val="006E1757"/>
    <w:rsid w:val="006E41D7"/>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C55"/>
    <w:rsid w:val="00737FF5"/>
    <w:rsid w:val="0074017D"/>
    <w:rsid w:val="00743620"/>
    <w:rsid w:val="0074484E"/>
    <w:rsid w:val="00745101"/>
    <w:rsid w:val="007472EE"/>
    <w:rsid w:val="00750F80"/>
    <w:rsid w:val="007523EF"/>
    <w:rsid w:val="00753122"/>
    <w:rsid w:val="00762397"/>
    <w:rsid w:val="00763A90"/>
    <w:rsid w:val="00766264"/>
    <w:rsid w:val="00770AED"/>
    <w:rsid w:val="00773785"/>
    <w:rsid w:val="00773E94"/>
    <w:rsid w:val="0077418E"/>
    <w:rsid w:val="0077596F"/>
    <w:rsid w:val="00775FED"/>
    <w:rsid w:val="007808A2"/>
    <w:rsid w:val="00780D1F"/>
    <w:rsid w:val="007820F2"/>
    <w:rsid w:val="007848A5"/>
    <w:rsid w:val="00785C4A"/>
    <w:rsid w:val="00787FE5"/>
    <w:rsid w:val="00797979"/>
    <w:rsid w:val="00797B18"/>
    <w:rsid w:val="00797D68"/>
    <w:rsid w:val="007A190E"/>
    <w:rsid w:val="007A22CA"/>
    <w:rsid w:val="007A4E0D"/>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447B"/>
    <w:rsid w:val="00814D96"/>
    <w:rsid w:val="00821BDD"/>
    <w:rsid w:val="008222EB"/>
    <w:rsid w:val="008225BD"/>
    <w:rsid w:val="008238F4"/>
    <w:rsid w:val="008240A5"/>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900478"/>
    <w:rsid w:val="009109D7"/>
    <w:rsid w:val="00910D0A"/>
    <w:rsid w:val="0091267F"/>
    <w:rsid w:val="00920728"/>
    <w:rsid w:val="00920C54"/>
    <w:rsid w:val="00924C4E"/>
    <w:rsid w:val="0092610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639E"/>
    <w:rsid w:val="00A21581"/>
    <w:rsid w:val="00A21AAC"/>
    <w:rsid w:val="00A228D1"/>
    <w:rsid w:val="00A2474E"/>
    <w:rsid w:val="00A255CE"/>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C0EA9"/>
    <w:rsid w:val="00AC1F31"/>
    <w:rsid w:val="00AC3220"/>
    <w:rsid w:val="00AC5A86"/>
    <w:rsid w:val="00AC6712"/>
    <w:rsid w:val="00AD1EBF"/>
    <w:rsid w:val="00AD542B"/>
    <w:rsid w:val="00AD54FB"/>
    <w:rsid w:val="00AD6167"/>
    <w:rsid w:val="00AE149D"/>
    <w:rsid w:val="00AE3218"/>
    <w:rsid w:val="00AE5B15"/>
    <w:rsid w:val="00AE61E7"/>
    <w:rsid w:val="00AE6413"/>
    <w:rsid w:val="00AF2011"/>
    <w:rsid w:val="00AF4595"/>
    <w:rsid w:val="00AF5007"/>
    <w:rsid w:val="00AF7932"/>
    <w:rsid w:val="00B00C8E"/>
    <w:rsid w:val="00B04D7F"/>
    <w:rsid w:val="00B052E8"/>
    <w:rsid w:val="00B06787"/>
    <w:rsid w:val="00B1626D"/>
    <w:rsid w:val="00B21CD4"/>
    <w:rsid w:val="00B22688"/>
    <w:rsid w:val="00B23149"/>
    <w:rsid w:val="00B2366F"/>
    <w:rsid w:val="00B23FC5"/>
    <w:rsid w:val="00B24470"/>
    <w:rsid w:val="00B25FBE"/>
    <w:rsid w:val="00B3371F"/>
    <w:rsid w:val="00B35D91"/>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7D1"/>
    <w:rsid w:val="00B8327F"/>
    <w:rsid w:val="00B86FA7"/>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C0051F"/>
    <w:rsid w:val="00C02A7A"/>
    <w:rsid w:val="00C03542"/>
    <w:rsid w:val="00C062E9"/>
    <w:rsid w:val="00C065C9"/>
    <w:rsid w:val="00C10EE0"/>
    <w:rsid w:val="00C134F3"/>
    <w:rsid w:val="00C13A1A"/>
    <w:rsid w:val="00C209CE"/>
    <w:rsid w:val="00C22C53"/>
    <w:rsid w:val="00C22CA5"/>
    <w:rsid w:val="00C23FD6"/>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524"/>
    <w:rsid w:val="00C6357C"/>
    <w:rsid w:val="00C660F0"/>
    <w:rsid w:val="00C7150B"/>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D71"/>
    <w:rsid w:val="00CE6615"/>
    <w:rsid w:val="00CE6C8E"/>
    <w:rsid w:val="00CF1C8A"/>
    <w:rsid w:val="00CF23A8"/>
    <w:rsid w:val="00CF34BF"/>
    <w:rsid w:val="00CF7695"/>
    <w:rsid w:val="00CF7C59"/>
    <w:rsid w:val="00D00E82"/>
    <w:rsid w:val="00D06FB0"/>
    <w:rsid w:val="00D077A6"/>
    <w:rsid w:val="00D126AD"/>
    <w:rsid w:val="00D30EBE"/>
    <w:rsid w:val="00D33E6E"/>
    <w:rsid w:val="00D345F4"/>
    <w:rsid w:val="00D36B00"/>
    <w:rsid w:val="00D44A18"/>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39A8"/>
    <w:rsid w:val="00D8658B"/>
    <w:rsid w:val="00D90A0E"/>
    <w:rsid w:val="00D97A57"/>
    <w:rsid w:val="00DA4200"/>
    <w:rsid w:val="00DA692A"/>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E3D"/>
    <w:rsid w:val="00E0514F"/>
    <w:rsid w:val="00E10F70"/>
    <w:rsid w:val="00E13680"/>
    <w:rsid w:val="00E140A8"/>
    <w:rsid w:val="00E17330"/>
    <w:rsid w:val="00E21CCE"/>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E5E"/>
    <w:rsid w:val="00E73B70"/>
    <w:rsid w:val="00E741D9"/>
    <w:rsid w:val="00E74E0D"/>
    <w:rsid w:val="00E74FA7"/>
    <w:rsid w:val="00E75746"/>
    <w:rsid w:val="00E775C2"/>
    <w:rsid w:val="00E822C4"/>
    <w:rsid w:val="00E849E3"/>
    <w:rsid w:val="00E93DAC"/>
    <w:rsid w:val="00E94E55"/>
    <w:rsid w:val="00E961DE"/>
    <w:rsid w:val="00EA18FA"/>
    <w:rsid w:val="00EA206F"/>
    <w:rsid w:val="00EA4E04"/>
    <w:rsid w:val="00EA4E3C"/>
    <w:rsid w:val="00EA6226"/>
    <w:rsid w:val="00EA6B4E"/>
    <w:rsid w:val="00EB5508"/>
    <w:rsid w:val="00EC06C8"/>
    <w:rsid w:val="00EC3EA1"/>
    <w:rsid w:val="00EC7E1F"/>
    <w:rsid w:val="00ED31AC"/>
    <w:rsid w:val="00ED3281"/>
    <w:rsid w:val="00ED615A"/>
    <w:rsid w:val="00EE2B86"/>
    <w:rsid w:val="00EE4730"/>
    <w:rsid w:val="00EF0721"/>
    <w:rsid w:val="00EF08FD"/>
    <w:rsid w:val="00F00CF7"/>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3D1F"/>
    <w:rsid w:val="00F85252"/>
    <w:rsid w:val="00F87C81"/>
    <w:rsid w:val="00F91DFE"/>
    <w:rsid w:val="00F9204C"/>
    <w:rsid w:val="00F96FE2"/>
    <w:rsid w:val="00FA53CE"/>
    <w:rsid w:val="00FA5A67"/>
    <w:rsid w:val="00FA7FF4"/>
    <w:rsid w:val="00FB06E5"/>
    <w:rsid w:val="00FB220A"/>
    <w:rsid w:val="00FB6892"/>
    <w:rsid w:val="00FB6975"/>
    <w:rsid w:val="00FB6E53"/>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E14"/>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D6C5-B4A5-4865-9A90-003207C2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Frion</dc:creator>
  <cp:lastModifiedBy>Debbie LaGesse</cp:lastModifiedBy>
  <cp:revision>3</cp:revision>
  <cp:lastPrinted>2021-01-20T14:45:00Z</cp:lastPrinted>
  <dcterms:created xsi:type="dcterms:W3CDTF">2021-01-28T16:19:00Z</dcterms:created>
  <dcterms:modified xsi:type="dcterms:W3CDTF">2021-01-29T15:02:00Z</dcterms:modified>
</cp:coreProperties>
</file>